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3F" w:rsidRDefault="009F523F"/>
    <w:p w:rsidR="004F42C4" w:rsidRDefault="004F42C4">
      <w:r>
        <w:t>FECHA DE ENTREGA: 20 de agosto de 2020</w:t>
      </w:r>
    </w:p>
    <w:p w:rsidR="004F42C4" w:rsidRDefault="004F42C4">
      <w:r>
        <w:t>ACTIVIDAD DE REPASO</w:t>
      </w:r>
    </w:p>
    <w:p w:rsidR="004F42C4" w:rsidRDefault="004F42C4" w:rsidP="004F42C4">
      <w:pPr>
        <w:pStyle w:val="Prrafodelista"/>
        <w:numPr>
          <w:ilvl w:val="0"/>
          <w:numId w:val="1"/>
        </w:numPr>
        <w:rPr>
          <w:b/>
          <w:i/>
        </w:rPr>
      </w:pPr>
      <w:r w:rsidRPr="004F42C4">
        <w:rPr>
          <w:b/>
          <w:i/>
        </w:rPr>
        <w:t>Leemos algo de teoría y realizamos las actividades propuestas en base a lo leído.</w:t>
      </w:r>
    </w:p>
    <w:p w:rsidR="004F42C4" w:rsidRPr="00015637" w:rsidRDefault="004F42C4" w:rsidP="004F42C4">
      <w:pPr>
        <w:rPr>
          <w:rFonts w:ascii="Arial" w:hAnsi="Arial" w:cs="Arial"/>
          <w:b/>
          <w:sz w:val="20"/>
          <w:szCs w:val="20"/>
          <w:u w:val="single"/>
        </w:rPr>
      </w:pPr>
      <w:r w:rsidRPr="00015637">
        <w:rPr>
          <w:rFonts w:ascii="Arial" w:hAnsi="Arial" w:cs="Arial"/>
          <w:b/>
          <w:sz w:val="20"/>
          <w:szCs w:val="20"/>
          <w:u w:val="single"/>
        </w:rPr>
        <w:t xml:space="preserve">MITOS </w:t>
      </w:r>
    </w:p>
    <w:p w:rsidR="004F42C4" w:rsidRPr="00015637" w:rsidRDefault="004F42C4" w:rsidP="004F42C4">
      <w:pPr>
        <w:rPr>
          <w:rFonts w:ascii="Arial" w:hAnsi="Arial" w:cs="Arial"/>
          <w:b/>
          <w:sz w:val="20"/>
          <w:szCs w:val="20"/>
        </w:rPr>
      </w:pPr>
      <w:r w:rsidRPr="00015637">
        <w:rPr>
          <w:rFonts w:ascii="Arial" w:hAnsi="Arial" w:cs="Arial"/>
          <w:b/>
          <w:sz w:val="20"/>
          <w:szCs w:val="20"/>
        </w:rPr>
        <w:t>¿Qué son los mitos?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Los mitos son relatos tradicionales, donde los personajes extraordinarios realizan acciones sobrenaturales.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Los mitos fueron transmitidos oralmente de generación en generación, y luego, los recopiladores hicieron versiones escritas que llegaron hasta nuestros días.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 xml:space="preserve">En los mitos, la narración se inscribe en épocas lejanas e </w:t>
      </w:r>
      <w:r w:rsidR="00015637" w:rsidRPr="00015637">
        <w:rPr>
          <w:rFonts w:ascii="Arial" w:hAnsi="Arial" w:cs="Arial"/>
          <w:sz w:val="20"/>
          <w:szCs w:val="20"/>
        </w:rPr>
        <w:t>imprecisas</w:t>
      </w:r>
      <w:r w:rsidRPr="00015637">
        <w:rPr>
          <w:rFonts w:ascii="Arial" w:hAnsi="Arial" w:cs="Arial"/>
          <w:sz w:val="20"/>
          <w:szCs w:val="20"/>
        </w:rPr>
        <w:t xml:space="preserve"> en las que los mortales interactúan con las diversidades en un periodo anterior al tiempo histórico. El espacio en el que habitan los dioses se diferencia del que ocupan los mortales o los muertos pero muchas veces los personajes suelen desplazarse de un lugar a otro.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Los personajes de los mitos son los dioses y los héroes. Los dioses se caracterizan por ser inmortales y poderosos. Los sentimientos y los comportamientos de los dioses se parecen mucho a los de los humanos; se relacionan a diario con mortales a quienes favorecen o perjudican de acuerdo con sus preferencias, sin importar si es justo o no cada uno de los dioses gobierna sobre un aspecto de la realidad.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Los héroes, por su parte, son hombres extraordinarios que sobresalen por alguna característica que los diferencia de los demás mortales.</w:t>
      </w:r>
    </w:p>
    <w:p w:rsidR="00015637" w:rsidRPr="00015637" w:rsidRDefault="00015637" w:rsidP="00015637">
      <w:pPr>
        <w:rPr>
          <w:rFonts w:ascii="Arial" w:hAnsi="Arial" w:cs="Arial"/>
          <w:b/>
          <w:sz w:val="20"/>
          <w:szCs w:val="20"/>
        </w:rPr>
      </w:pPr>
      <w:r w:rsidRPr="00015637">
        <w:rPr>
          <w:rFonts w:ascii="Arial" w:hAnsi="Arial" w:cs="Arial"/>
          <w:b/>
          <w:sz w:val="20"/>
          <w:szCs w:val="20"/>
        </w:rPr>
        <w:t>Tipos de mitos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15637" w:rsidRPr="00015637" w:rsidTr="00C47C17"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Mitos de origen</w:t>
            </w:r>
          </w:p>
        </w:tc>
      </w:tr>
      <w:tr w:rsidR="00015637" w:rsidRPr="00015637" w:rsidTr="00C47C17"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Cosmogónicos </w:t>
            </w:r>
          </w:p>
        </w:tc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Intentan explicar la creación del mundo o el universo, ya sea por las acciones de gigantes o de dioses.</w:t>
            </w:r>
          </w:p>
        </w:tc>
      </w:tr>
      <w:tr w:rsidR="00015637" w:rsidRPr="00015637" w:rsidTr="00C47C17"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Teogónicos </w:t>
            </w:r>
          </w:p>
        </w:tc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Se refiere al origen y la historia de los dioses, quienes suelen ser muy similares a los seres humanos, ya sea físicamente o en su comportamiento.</w:t>
            </w:r>
          </w:p>
        </w:tc>
      </w:tr>
      <w:tr w:rsidR="00015637" w:rsidRPr="00015637" w:rsidTr="00C47C17"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Antropogònicos</w:t>
            </w:r>
          </w:p>
        </w:tc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Explican la aparición del ser humano, cuyo origen puede ser una planta, un puñado de tierra o un animal.</w:t>
            </w:r>
          </w:p>
        </w:tc>
      </w:tr>
      <w:tr w:rsidR="00015637" w:rsidRPr="00015637" w:rsidTr="00C47C17"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Etiológicos </w:t>
            </w:r>
          </w:p>
        </w:tc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Relatan el origen de los animales, plantas, astros, procesos biológicos, y mencionan como ocurrieron las cosas por primera vez</w:t>
            </w:r>
          </w:p>
        </w:tc>
      </w:tr>
      <w:tr w:rsidR="00015637" w:rsidRPr="00015637" w:rsidTr="00C47C17"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Fundacionales </w:t>
            </w:r>
          </w:p>
        </w:tc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Narran el nacimiento de una población humana o de las ciudades, pero desde un origen mágico, sobrenatural o fantástico en  vez de histórico.</w:t>
            </w:r>
          </w:p>
        </w:tc>
      </w:tr>
      <w:tr w:rsidR="00015637" w:rsidRPr="00015637" w:rsidTr="00C47C17"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Morales </w:t>
            </w:r>
          </w:p>
        </w:tc>
        <w:tc>
          <w:tcPr>
            <w:tcW w:w="4322" w:type="dxa"/>
          </w:tcPr>
          <w:p w:rsidR="00015637" w:rsidRPr="00015637" w:rsidRDefault="00015637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Explican el origen del bien y el mal en las acciones humanas.</w:t>
            </w:r>
          </w:p>
        </w:tc>
      </w:tr>
    </w:tbl>
    <w:p w:rsidR="00015637" w:rsidRPr="00015637" w:rsidRDefault="00015637" w:rsidP="00015637">
      <w:pPr>
        <w:rPr>
          <w:rFonts w:ascii="Arial" w:hAnsi="Arial" w:cs="Arial"/>
          <w:sz w:val="20"/>
          <w:szCs w:val="20"/>
        </w:rPr>
      </w:pP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p w:rsidR="004F42C4" w:rsidRPr="00015637" w:rsidRDefault="004F42C4" w:rsidP="004F42C4">
      <w:pPr>
        <w:rPr>
          <w:rFonts w:ascii="Arial" w:hAnsi="Arial" w:cs="Arial"/>
          <w:b/>
          <w:i/>
          <w:sz w:val="20"/>
          <w:szCs w:val="20"/>
        </w:rPr>
      </w:pPr>
      <w:r w:rsidRPr="00015637">
        <w:rPr>
          <w:rFonts w:ascii="Arial" w:hAnsi="Arial" w:cs="Arial"/>
          <w:b/>
          <w:i/>
          <w:sz w:val="20"/>
          <w:szCs w:val="20"/>
        </w:rPr>
        <w:t>Estructura de los mitos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Los mitos tienen una estructura similar a la de otros textos narrativos.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La trama narrativa se caracteriza por organizarse alrededor de una estructura básica, formada por una serie de categorías fijas: el marco, el suceso y el episodio. Estas tres categorías corresponden a la trama narrativa.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En la situación inicial un narrador presenta a los personajes y los ubica en un espacio y un tiempo en el que suceden los hechos.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Los personajes, el espacio y el tiempo constituyen el marco, el cual puede cambiar a lo largo de un relato.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Esta situación inicial responde a las preguntas: ¿Quién?, ¿Dónde?</w:t>
      </w:r>
      <w:r w:rsidR="00015637" w:rsidRPr="00015637">
        <w:rPr>
          <w:rFonts w:ascii="Arial" w:hAnsi="Arial" w:cs="Arial"/>
          <w:sz w:val="20"/>
          <w:szCs w:val="20"/>
        </w:rPr>
        <w:t>, ¿</w:t>
      </w:r>
      <w:r w:rsidRPr="00015637">
        <w:rPr>
          <w:rFonts w:ascii="Arial" w:hAnsi="Arial" w:cs="Arial"/>
          <w:sz w:val="20"/>
          <w:szCs w:val="20"/>
        </w:rPr>
        <w:t>Cuándo?</w:t>
      </w:r>
      <w:r w:rsidR="00015637" w:rsidRPr="00015637">
        <w:rPr>
          <w:rFonts w:ascii="Arial" w:hAnsi="Arial" w:cs="Arial"/>
          <w:sz w:val="20"/>
          <w:szCs w:val="20"/>
        </w:rPr>
        <w:t>, ¿</w:t>
      </w:r>
      <w:r w:rsidRPr="00015637">
        <w:rPr>
          <w:rFonts w:ascii="Arial" w:hAnsi="Arial" w:cs="Arial"/>
          <w:sz w:val="20"/>
          <w:szCs w:val="20"/>
        </w:rPr>
        <w:t>Qué se plantea?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</w:tblGrid>
      <w:tr w:rsidR="004F42C4" w:rsidRPr="00015637" w:rsidTr="00C47C17">
        <w:trPr>
          <w:trHeight w:val="173"/>
        </w:trPr>
        <w:tc>
          <w:tcPr>
            <w:tcW w:w="1785" w:type="dxa"/>
            <w:shd w:val="clear" w:color="auto" w:fill="00B0F0"/>
          </w:tcPr>
          <w:p w:rsidR="004F42C4" w:rsidRPr="00015637" w:rsidRDefault="004F42C4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Planteo </w:t>
            </w:r>
          </w:p>
        </w:tc>
      </w:tr>
    </w:tbl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066" w:tblpY="-9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5"/>
      </w:tblGrid>
      <w:tr w:rsidR="004F42C4" w:rsidRPr="00015637" w:rsidTr="00C47C17">
        <w:trPr>
          <w:trHeight w:val="108"/>
        </w:trPr>
        <w:tc>
          <w:tcPr>
            <w:tcW w:w="6555" w:type="dxa"/>
            <w:shd w:val="clear" w:color="auto" w:fill="00B0F0"/>
          </w:tcPr>
          <w:p w:rsidR="004F42C4" w:rsidRPr="00015637" w:rsidRDefault="004F42C4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Presenta como era la situación antes de la intervención de los seres sobrenaturales y el conflicto o hecho que da origen a las acciones.</w:t>
            </w:r>
          </w:p>
        </w:tc>
      </w:tr>
    </w:tbl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</w:tblGrid>
      <w:tr w:rsidR="004F42C4" w:rsidRPr="00015637" w:rsidTr="00C47C17">
        <w:trPr>
          <w:trHeight w:val="371"/>
        </w:trPr>
        <w:tc>
          <w:tcPr>
            <w:tcW w:w="1890" w:type="dxa"/>
            <w:shd w:val="clear" w:color="auto" w:fill="FBD4B4" w:themeFill="accent6" w:themeFillTint="66"/>
          </w:tcPr>
          <w:p w:rsidR="004F42C4" w:rsidRPr="00015637" w:rsidRDefault="004F42C4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Nudo </w:t>
            </w:r>
          </w:p>
        </w:tc>
      </w:tr>
    </w:tbl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141" w:tblpY="-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3"/>
      </w:tblGrid>
      <w:tr w:rsidR="004F42C4" w:rsidRPr="00015637" w:rsidTr="00C47C17">
        <w:trPr>
          <w:trHeight w:val="519"/>
        </w:trPr>
        <w:tc>
          <w:tcPr>
            <w:tcW w:w="6253" w:type="dxa"/>
            <w:shd w:val="clear" w:color="auto" w:fill="FBD4B4" w:themeFill="accent6" w:themeFillTint="66"/>
          </w:tcPr>
          <w:p w:rsidR="004F42C4" w:rsidRPr="00015637" w:rsidRDefault="004F42C4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Relata las acciones que realizan los seres sobrenaturales para resolver el conflicto utilizando poderes divinos o extraordinarios</w:t>
            </w:r>
          </w:p>
        </w:tc>
      </w:tr>
    </w:tbl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</w:tblGrid>
      <w:tr w:rsidR="004F42C4" w:rsidRPr="00015637" w:rsidTr="00C47C17">
        <w:trPr>
          <w:trHeight w:val="205"/>
        </w:trPr>
        <w:tc>
          <w:tcPr>
            <w:tcW w:w="1710" w:type="dxa"/>
            <w:shd w:val="clear" w:color="auto" w:fill="FFFF00"/>
          </w:tcPr>
          <w:p w:rsidR="004F42C4" w:rsidRPr="00015637" w:rsidRDefault="004F42C4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 xml:space="preserve">Desenlace </w:t>
            </w:r>
          </w:p>
        </w:tc>
      </w:tr>
    </w:tbl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111" w:tblpY="-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4"/>
      </w:tblGrid>
      <w:tr w:rsidR="004F42C4" w:rsidRPr="00015637" w:rsidTr="00C47C17">
        <w:trPr>
          <w:trHeight w:val="12"/>
        </w:trPr>
        <w:tc>
          <w:tcPr>
            <w:tcW w:w="6494" w:type="dxa"/>
            <w:shd w:val="clear" w:color="auto" w:fill="FFFF00"/>
          </w:tcPr>
          <w:p w:rsidR="004F42C4" w:rsidRPr="00015637" w:rsidRDefault="004F42C4" w:rsidP="00C47C17">
            <w:pPr>
              <w:rPr>
                <w:rFonts w:ascii="Arial" w:hAnsi="Arial" w:cs="Arial"/>
                <w:sz w:val="20"/>
                <w:szCs w:val="20"/>
              </w:rPr>
            </w:pPr>
            <w:r w:rsidRPr="00015637">
              <w:rPr>
                <w:rFonts w:ascii="Arial" w:hAnsi="Arial" w:cs="Arial"/>
                <w:sz w:val="20"/>
                <w:szCs w:val="20"/>
              </w:rPr>
              <w:t>Muestra el resultado de las acciones de esos seres sobrenaturales y como queda el mundo después de sus acciones. Puede, también, anticipar hechos del futuro que son ya conocidos por los oyentes/lectores.</w:t>
            </w:r>
          </w:p>
        </w:tc>
      </w:tr>
    </w:tbl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p w:rsidR="004F42C4" w:rsidRPr="00015637" w:rsidRDefault="004F42C4" w:rsidP="004F42C4">
      <w:pPr>
        <w:rPr>
          <w:rFonts w:ascii="Arial" w:hAnsi="Arial" w:cs="Arial"/>
          <w:b/>
          <w:sz w:val="20"/>
          <w:szCs w:val="20"/>
        </w:rPr>
      </w:pPr>
      <w:r w:rsidRPr="00015637">
        <w:rPr>
          <w:rFonts w:ascii="Arial" w:hAnsi="Arial" w:cs="Arial"/>
          <w:b/>
          <w:sz w:val="20"/>
          <w:szCs w:val="20"/>
        </w:rPr>
        <w:t>Consigna:</w:t>
      </w:r>
    </w:p>
    <w:p w:rsidR="004F42C4" w:rsidRPr="00015637" w:rsidRDefault="004F42C4" w:rsidP="0001563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Observar la imagen y responder: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lastRenderedPageBreak/>
        <w:t xml:space="preserve"> </w:t>
      </w:r>
      <w:r w:rsidRPr="00015637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4A3E98A3" wp14:editId="5E727E14">
            <wp:extent cx="5401310" cy="2798445"/>
            <wp:effectExtent l="0" t="0" r="889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2-¿A qué tipo de narraciones crees que corresponde?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2-¿Conoces alguna narración que explique el origen del mundo, de los seres humanos o de las cosas? ¿Cuál?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4-¿Quién te conto estas historias o donde las leíste?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5-¿Te gustan estos relatos? ¿Por qué?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  <w:r w:rsidRPr="00015637">
        <w:rPr>
          <w:rFonts w:ascii="Arial" w:hAnsi="Arial" w:cs="Arial"/>
          <w:sz w:val="20"/>
          <w:szCs w:val="20"/>
        </w:rPr>
        <w:t>6-¿Qué tipos de textos recuerdas?</w:t>
      </w:r>
    </w:p>
    <w:p w:rsidR="004F42C4" w:rsidRPr="00015637" w:rsidRDefault="004F42C4" w:rsidP="004F42C4">
      <w:pPr>
        <w:rPr>
          <w:rFonts w:ascii="Arial" w:hAnsi="Arial" w:cs="Arial"/>
          <w:sz w:val="20"/>
          <w:szCs w:val="20"/>
        </w:rPr>
      </w:pPr>
    </w:p>
    <w:sectPr w:rsidR="004F42C4" w:rsidRPr="0001563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7C" w:rsidRDefault="00A4277C" w:rsidP="004F42C4">
      <w:pPr>
        <w:spacing w:after="0" w:line="240" w:lineRule="auto"/>
      </w:pPr>
      <w:r>
        <w:separator/>
      </w:r>
    </w:p>
  </w:endnote>
  <w:endnote w:type="continuationSeparator" w:id="0">
    <w:p w:rsidR="00A4277C" w:rsidRDefault="00A4277C" w:rsidP="004F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7C" w:rsidRDefault="00A4277C" w:rsidP="004F42C4">
      <w:pPr>
        <w:spacing w:after="0" w:line="240" w:lineRule="auto"/>
      </w:pPr>
      <w:r>
        <w:separator/>
      </w:r>
    </w:p>
  </w:footnote>
  <w:footnote w:type="continuationSeparator" w:id="0">
    <w:p w:rsidR="00A4277C" w:rsidRDefault="00A4277C" w:rsidP="004F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C4" w:rsidRDefault="004F42C4">
    <w:pPr>
      <w:pStyle w:val="Encabezado"/>
    </w:pPr>
    <w:r>
      <w:t>LENGUA Y LITERATURA</w:t>
    </w:r>
  </w:p>
  <w:p w:rsidR="004F42C4" w:rsidRDefault="004F42C4">
    <w:pPr>
      <w:pStyle w:val="Encabezado"/>
    </w:pPr>
    <w:r>
      <w:t xml:space="preserve">CURSO: 2do 2da T. MAÑANA </w:t>
    </w:r>
  </w:p>
  <w:p w:rsidR="004F42C4" w:rsidRDefault="004F42C4">
    <w:pPr>
      <w:pStyle w:val="Encabezado"/>
    </w:pPr>
    <w:r>
      <w:t>ESC. Nº789</w:t>
    </w:r>
  </w:p>
  <w:p w:rsidR="004F42C4" w:rsidRDefault="004F42C4">
    <w:pPr>
      <w:pStyle w:val="Encabezado"/>
    </w:pPr>
    <w:r>
      <w:t xml:space="preserve">PROFE. AVILA, MARÌA EUGENIA                         EMAIL: </w:t>
    </w:r>
    <w:hyperlink r:id="rId1" w:history="1">
      <w:r w:rsidRPr="008D5B99">
        <w:rPr>
          <w:rStyle w:val="Hipervnculo"/>
        </w:rPr>
        <w:t>pitusel@gmail.com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34AD"/>
    <w:multiLevelType w:val="hybridMultilevel"/>
    <w:tmpl w:val="379A6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C4"/>
    <w:rsid w:val="00015637"/>
    <w:rsid w:val="004F42C4"/>
    <w:rsid w:val="009F523F"/>
    <w:rsid w:val="00A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2C4"/>
  </w:style>
  <w:style w:type="paragraph" w:styleId="Piedepgina">
    <w:name w:val="footer"/>
    <w:basedOn w:val="Normal"/>
    <w:link w:val="PiedepginaCar"/>
    <w:uiPriority w:val="99"/>
    <w:unhideWhenUsed/>
    <w:rsid w:val="004F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2C4"/>
  </w:style>
  <w:style w:type="character" w:styleId="Hipervnculo">
    <w:name w:val="Hyperlink"/>
    <w:basedOn w:val="Fuentedeprrafopredeter"/>
    <w:uiPriority w:val="99"/>
    <w:unhideWhenUsed/>
    <w:rsid w:val="004F42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42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2C4"/>
  </w:style>
  <w:style w:type="paragraph" w:styleId="Piedepgina">
    <w:name w:val="footer"/>
    <w:basedOn w:val="Normal"/>
    <w:link w:val="PiedepginaCar"/>
    <w:uiPriority w:val="99"/>
    <w:unhideWhenUsed/>
    <w:rsid w:val="004F4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2C4"/>
  </w:style>
  <w:style w:type="character" w:styleId="Hipervnculo">
    <w:name w:val="Hyperlink"/>
    <w:basedOn w:val="Fuentedeprrafopredeter"/>
    <w:uiPriority w:val="99"/>
    <w:unhideWhenUsed/>
    <w:rsid w:val="004F42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F42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tus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2020-08-10T19:36:00Z</dcterms:created>
  <dcterms:modified xsi:type="dcterms:W3CDTF">2020-08-10T19:54:00Z</dcterms:modified>
</cp:coreProperties>
</file>