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77" w:rsidRPr="00F66A43" w:rsidRDefault="00C17077" w:rsidP="00C17077">
      <w:pPr>
        <w:jc w:val="center"/>
        <w:rPr>
          <w:b/>
          <w:color w:val="4472C4" w:themeColor="accent5"/>
          <w:sz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A43">
        <w:rPr>
          <w:b/>
          <w:color w:val="4472C4" w:themeColor="accent5"/>
          <w:sz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Actividad de Música 1er año </w:t>
      </w:r>
    </w:p>
    <w:p w:rsidR="00C17077" w:rsidRPr="00C17077" w:rsidRDefault="00C17077" w:rsidP="00C17077">
      <w:pPr>
        <w:rPr>
          <w:b/>
          <w:sz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C17077">
        <w:rPr>
          <w:b/>
          <w:sz w:val="24"/>
          <w14:textOutline w14:w="11112" w14:cap="flat" w14:cmpd="sng" w14:algn="ctr">
            <w14:noFill/>
            <w14:prstDash w14:val="solid"/>
            <w14:round/>
          </w14:textOutline>
        </w:rPr>
        <w:t>Prof. María E. Antilef</w:t>
      </w:r>
    </w:p>
    <w:p w:rsidR="00C17077" w:rsidRPr="00C17077" w:rsidRDefault="00C17077" w:rsidP="00C17077">
      <w:pPr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44E03" w:rsidRPr="00F66A43" w:rsidRDefault="00D44E03" w:rsidP="00F66A43">
      <w:pPr>
        <w:jc w:val="center"/>
        <w:rPr>
          <w:color w:val="5B9BD5" w:themeColor="accent1"/>
          <w:sz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A43">
        <w:rPr>
          <w:color w:val="5B9BD5" w:themeColor="accent1"/>
          <w:sz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LAS CUALIDADES DEL SONIDO Y SU REPRESENTACIÓN GRÁFICA</w:t>
      </w:r>
    </w:p>
    <w:p w:rsidR="00475A2E" w:rsidRDefault="00936CDB" w:rsidP="00D44E03"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601980</wp:posOffset>
            </wp:positionV>
            <wp:extent cx="2257425" cy="1085850"/>
            <wp:effectExtent l="190500" t="190500" r="200025" b="190500"/>
            <wp:wrapTight wrapText="bothSides">
              <wp:wrapPolygon edited="0">
                <wp:start x="365" y="-3789"/>
                <wp:lineTo x="-1823" y="-3032"/>
                <wp:lineTo x="-1641" y="21600"/>
                <wp:lineTo x="182" y="24253"/>
                <wp:lineTo x="365" y="25011"/>
                <wp:lineTo x="21144" y="25011"/>
                <wp:lineTo x="21327" y="24253"/>
                <wp:lineTo x="23149" y="21600"/>
                <wp:lineTo x="23332" y="3032"/>
                <wp:lineTo x="21327" y="-2653"/>
                <wp:lineTo x="21144" y="-3789"/>
                <wp:lineTo x="365" y="-3789"/>
              </wp:wrapPolygon>
            </wp:wrapTight>
            <wp:docPr id="12" name="Imagen 12" descr="recursos musicales para el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ursos musicales para el au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A2E">
        <w:t xml:space="preserve"> </w:t>
      </w:r>
      <w:r w:rsidR="00475A2E" w:rsidRPr="00475A2E">
        <w:t xml:space="preserve">Como hemos visto en </w:t>
      </w:r>
      <w:r w:rsidR="00B2041A">
        <w:t>actividades anteriores</w:t>
      </w:r>
      <w:r w:rsidR="00475A2E" w:rsidRPr="00475A2E">
        <w:t>,  en todo sonido podemos distinguir cuatro cualidades que nos permite ubicarlo entre dos categorías. Estas cualidades y sus categorías son:</w:t>
      </w:r>
      <w:r w:rsidR="00C17077">
        <w:t xml:space="preserve"> Altura, duración, intensidad y timbre.</w:t>
      </w:r>
    </w:p>
    <w:p w:rsidR="00475A2E" w:rsidRDefault="00C17077" w:rsidP="00D44E03">
      <w:r>
        <w:t>A continuación definiremos cada una de ellas y al final tienen las actividades que, para poder realizarlas deber leer los conceptos y observar las imágenes de la representación gráfica de cada cualidad.</w:t>
      </w:r>
    </w:p>
    <w:p w:rsidR="00936CDB" w:rsidRDefault="00936CDB" w:rsidP="00D44E03">
      <w:pPr>
        <w:rPr>
          <w:b/>
          <w:sz w:val="28"/>
          <w:u w:val="single"/>
        </w:rPr>
      </w:pPr>
    </w:p>
    <w:p w:rsidR="00936CDB" w:rsidRDefault="00936CDB" w:rsidP="00D44E03">
      <w:pPr>
        <w:rPr>
          <w:b/>
          <w:sz w:val="28"/>
          <w:u w:val="single"/>
        </w:rPr>
      </w:pPr>
    </w:p>
    <w:p w:rsidR="00C17077" w:rsidRPr="0071516D" w:rsidRDefault="00C17077" w:rsidP="00D44E03">
      <w:pPr>
        <w:rPr>
          <w:rFonts w:ascii="Times New Roman" w:hAnsi="Times New Roman" w:cs="Times New Roman"/>
          <w:b/>
          <w:sz w:val="28"/>
          <w:u w:val="single"/>
        </w:rPr>
      </w:pPr>
      <w:r w:rsidRPr="0071516D">
        <w:rPr>
          <w:rFonts w:ascii="Times New Roman" w:hAnsi="Times New Roman" w:cs="Times New Roman"/>
          <w:b/>
          <w:sz w:val="28"/>
          <w:u w:val="single"/>
        </w:rPr>
        <w:t>Objetivos</w:t>
      </w:r>
      <w:r w:rsidR="00DB5908" w:rsidRPr="0071516D"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="00936CDB" w:rsidRPr="0071516D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71516D" w:rsidRPr="0071516D" w:rsidRDefault="0071516D" w:rsidP="0071516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u w:val="single"/>
        </w:rPr>
      </w:pPr>
      <w:r w:rsidRPr="0071516D">
        <w:rPr>
          <w:rFonts w:ascii="Times New Roman" w:hAnsi="Times New Roman" w:cs="Times New Roman"/>
          <w:sz w:val="24"/>
        </w:rPr>
        <w:t>Conocer e identificar las cualidades del sonido.</w:t>
      </w:r>
    </w:p>
    <w:p w:rsidR="0071516D" w:rsidRPr="0071516D" w:rsidRDefault="0071516D" w:rsidP="0071516D">
      <w:pPr>
        <w:pStyle w:val="Prrafodelista"/>
        <w:numPr>
          <w:ilvl w:val="0"/>
          <w:numId w:val="2"/>
        </w:numPr>
        <w:rPr>
          <w:sz w:val="24"/>
        </w:rPr>
      </w:pPr>
      <w:r w:rsidRPr="0071516D">
        <w:rPr>
          <w:sz w:val="24"/>
        </w:rPr>
        <w:t xml:space="preserve">Conocer como se representan gráficamente los sonidos musicales </w:t>
      </w:r>
    </w:p>
    <w:p w:rsidR="00D44E03" w:rsidRDefault="00D44E03" w:rsidP="00D44E03"/>
    <w:p w:rsidR="00C713F6" w:rsidRDefault="00C713F6" w:rsidP="00C713F6"/>
    <w:p w:rsidR="00C713F6" w:rsidRDefault="00C713F6" w:rsidP="00C713F6">
      <w:r w:rsidRPr="00C713F6"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ALTURA</w:t>
      </w:r>
      <w:r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 La</w:t>
      </w:r>
      <w:r>
        <w:t xml:space="preserve"> altura es </w:t>
      </w:r>
      <w:r>
        <w:t xml:space="preserve"> la cualidad del sonido que distingue entre sonidos graves y agudos.</w:t>
      </w:r>
    </w:p>
    <w:p w:rsidR="00A71DF3" w:rsidRDefault="00C713F6" w:rsidP="00C713F6">
      <w:r>
        <w:t>L</w:t>
      </w:r>
      <w:r>
        <w:t>a altura de los sonidos la representamos mediante las notas que toman su nombre de su posición en el pentagrama:</w:t>
      </w:r>
    </w:p>
    <w:p w:rsidR="00C713F6" w:rsidRDefault="00C713F6" w:rsidP="00C713F6">
      <w:r>
        <w:rPr>
          <w:noProof/>
          <w:lang w:eastAsia="es-AR"/>
        </w:rPr>
        <w:drawing>
          <wp:inline distT="0" distB="0" distL="0" distR="0" wp14:anchorId="7E27C292" wp14:editId="56045C09">
            <wp:extent cx="5502561" cy="1087120"/>
            <wp:effectExtent l="0" t="0" r="3175" b="0"/>
            <wp:docPr id="2" name="Imagen 2" descr="https://sites.google.com/site/gustavoyllusoto/_/rsrc/1424408014465/8-las-notas-musicales-en-el-pentagrama/penta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gustavoyllusoto/_/rsrc/1424408014465/8-las-notas-musicales-en-el-pentagrama/pentag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880" cy="108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F6" w:rsidRDefault="00C713F6" w:rsidP="00C713F6"/>
    <w:p w:rsidR="00C713F6" w:rsidRDefault="00C713F6" w:rsidP="00C713F6">
      <w:r>
        <w:t>Las notas se escriben en el Pentagrama en las líneas que son 5  y en los espacios que son 4. Como están escritas arriba en el pentagrama.</w:t>
      </w:r>
    </w:p>
    <w:p w:rsidR="00C713F6" w:rsidRDefault="00C713F6" w:rsidP="00C713F6">
      <w:r>
        <w:t>Cuando se tienen que colocar notas más agudas  y más graves se colocan líneas adicionales arriba de la última línea y debajo de la 1ra líneas</w:t>
      </w:r>
    </w:p>
    <w:p w:rsidR="00646F03" w:rsidRDefault="003C7AE5" w:rsidP="00646F03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 wp14:anchorId="14835F45" wp14:editId="0EEA86A7">
            <wp:simplePos x="0" y="0"/>
            <wp:positionH relativeFrom="column">
              <wp:posOffset>34290</wp:posOffset>
            </wp:positionH>
            <wp:positionV relativeFrom="paragraph">
              <wp:posOffset>-1270</wp:posOffset>
            </wp:positionV>
            <wp:extent cx="348615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82" y="21412"/>
                <wp:lineTo x="21482" y="0"/>
                <wp:lineTo x="0" y="0"/>
              </wp:wrapPolygon>
            </wp:wrapTight>
            <wp:docPr id="11" name="Imagen 11" descr="http://1.bp.blogspot.com/-fjqSXsUZg9A/VKxa5JaSQfI/AAAAAAAAADA/y_fQT-bVlfs/s1600/SILENCIOS%2BMUSICALES%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fjqSXsUZg9A/VKxa5JaSQfI/AAAAAAAAADA/y_fQT-bVlfs/s1600/SILENCIOS%2BMUSICALES%2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3F6"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C713F6" w:rsidRPr="00C713F6"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La duración </w:t>
      </w:r>
      <w:r w:rsidR="00C713F6" w:rsidRPr="00C713F6">
        <w:t>de los sonidos se representa con las figuras y silencios musicales:</w:t>
      </w:r>
      <w:r w:rsidR="00AC7E29">
        <w:t xml:space="preserve"> cada figura tiene una duración</w:t>
      </w:r>
      <w:r w:rsidR="00646F03">
        <w:t xml:space="preserve">, </w:t>
      </w:r>
      <w:r w:rsidR="00646F03">
        <w:t>se mide</w:t>
      </w:r>
      <w:r w:rsidR="00646F03">
        <w:t xml:space="preserve"> </w:t>
      </w:r>
      <w:r w:rsidR="00646F03">
        <w:t>en unidades de tiempo (minutos, segundos, entre otros). Musicalmente se representa</w:t>
      </w:r>
      <w:r w:rsidR="00646F03">
        <w:t xml:space="preserve"> </w:t>
      </w:r>
      <w:r w:rsidR="00646F03">
        <w:t>por medio de figuras o silencios</w:t>
      </w:r>
      <w:r w:rsidR="00646F03">
        <w:t xml:space="preserve"> </w:t>
      </w:r>
      <w:r w:rsidR="00AC7E29">
        <w:t>observar la imagen con las figuras y duración de  cada una)</w:t>
      </w:r>
      <w:r w:rsidR="00646F03">
        <w:t xml:space="preserve"> La duración</w:t>
      </w:r>
    </w:p>
    <w:p w:rsidR="00C713F6" w:rsidRDefault="00646F03" w:rsidP="00646F03">
      <w:r>
        <w:t>.</w:t>
      </w:r>
      <w:r w:rsidR="00B2041A">
        <w:t xml:space="preserve"> </w:t>
      </w:r>
    </w:p>
    <w:p w:rsidR="00EB4AC9" w:rsidRDefault="00EB4AC9" w:rsidP="00C713F6"/>
    <w:p w:rsidR="00C713F6" w:rsidRDefault="00C713F6" w:rsidP="00C713F6">
      <w:pPr>
        <w:rPr>
          <w:noProof/>
          <w:lang w:eastAsia="es-AR"/>
        </w:rPr>
      </w:pPr>
      <w:r w:rsidRPr="00C713F6">
        <w:rPr>
          <w:noProof/>
          <w:lang w:eastAsia="es-AR"/>
        </w:rPr>
        <w:t xml:space="preserve"> </w:t>
      </w:r>
    </w:p>
    <w:p w:rsidR="00EB4AC9" w:rsidRDefault="00EB4AC9" w:rsidP="00C713F6">
      <w:pPr>
        <w:rPr>
          <w:noProof/>
          <w:lang w:eastAsia="es-AR"/>
        </w:rPr>
      </w:pPr>
    </w:p>
    <w:p w:rsidR="00EB4AC9" w:rsidRDefault="0090796F" w:rsidP="00C713F6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5814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485" y="21308"/>
                <wp:lineTo x="21485" y="0"/>
                <wp:lineTo x="0" y="0"/>
              </wp:wrapPolygon>
            </wp:wrapTight>
            <wp:docPr id="9" name="Imagen 9" descr="https://lh6.googleusercontent.com/proxy/D3loywJ58Eym7iGoL-IX8rRgOrsT61C3k9lqGNNNXHi8BGJRDMCD1odzGdsn4tE1Zv3zdgcDgZKrIoSZWaMFDEJmXlfkjOCZxpquA_M1jj3Cr9aWMO2L_PblGw-6PLGTbL_hx2L_2cZmZg7McebEUHk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proxy/D3loywJ58Eym7iGoL-IX8rRgOrsT61C3k9lqGNNNXHi8BGJRDMCD1odzGdsn4tE1Zv3zdgcDgZKrIoSZWaMFDEJmXlfkjOCZxpquA_M1jj3Cr9aWMO2L_PblGw-6PLGTbL_hx2L_2cZmZg7McebEUHk=s0-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96F" w:rsidRDefault="0090796F" w:rsidP="0090796F">
      <w:r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90796F"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Intensidad:</w:t>
      </w:r>
      <w:r>
        <w:t xml:space="preserve"> </w:t>
      </w:r>
      <w:r>
        <w:t xml:space="preserve">es </w:t>
      </w:r>
      <w:r>
        <w:t xml:space="preserve">   </w:t>
      </w:r>
      <w:r>
        <w:t>una cualidad del sonido y nos indica lo fuerte o suave que puede ser.</w:t>
      </w:r>
    </w:p>
    <w:p w:rsidR="0090796F" w:rsidRDefault="0090796F" w:rsidP="0090796F"/>
    <w:p w:rsidR="0090796F" w:rsidRDefault="0090796F" w:rsidP="0090796F">
      <w:r>
        <w:t xml:space="preserve">Los símbolos usados para representar la intensidad en música se denominan, generalmente, MATICES </w:t>
      </w:r>
    </w:p>
    <w:p w:rsidR="004346B8" w:rsidRDefault="004346B8" w:rsidP="00646F03">
      <w:r w:rsidRPr="004346B8"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Timbre</w:t>
      </w:r>
      <w:r>
        <w:t xml:space="preserve">:   Es la cualidad que permite </w:t>
      </w:r>
      <w:r>
        <w:t>determinar qué tipo de voz o instrumento está sonando con</w:t>
      </w:r>
      <w:r>
        <w:t xml:space="preserve"> </w:t>
      </w:r>
      <w:r>
        <w:t>tan sólo escucharlo.</w:t>
      </w:r>
      <w:r w:rsidR="00646F03">
        <w:t xml:space="preserve">  </w:t>
      </w:r>
      <w:r w:rsidR="00646F03">
        <w:t>Permite</w:t>
      </w:r>
      <w:r w:rsidR="00646F03">
        <w:t xml:space="preserve"> reconocer quién o qué cosa produce el sonido. Por</w:t>
      </w:r>
      <w:r w:rsidR="00646F03">
        <w:t xml:space="preserve"> </w:t>
      </w:r>
      <w:r w:rsidR="00646F03">
        <w:t>ejemplo, la voz de una persona, el sonido que emite un piano, una guitarra, etc.</w:t>
      </w:r>
      <w:r>
        <w:t xml:space="preserve"> (Uds. trabajaron esta cualidad cuando clasificaban instrumentos)</w:t>
      </w:r>
    </w:p>
    <w:p w:rsidR="00167052" w:rsidRDefault="00167052" w:rsidP="004346B8"/>
    <w:p w:rsidR="004346B8" w:rsidRDefault="00F66A43" w:rsidP="004346B8">
      <w:r>
        <w:t>------------------------------------------------------------------------------------------------------------------------------</w:t>
      </w:r>
      <w:bookmarkStart w:id="0" w:name="_GoBack"/>
      <w:bookmarkEnd w:id="0"/>
    </w:p>
    <w:p w:rsidR="004346B8" w:rsidRDefault="004346B8" w:rsidP="004346B8"/>
    <w:p w:rsidR="004346B8" w:rsidRPr="007172EC" w:rsidRDefault="004346B8" w:rsidP="004346B8">
      <w:pPr>
        <w:rPr>
          <w:b/>
          <w:sz w:val="32"/>
          <w:u w:val="single"/>
        </w:rPr>
      </w:pPr>
      <w:r w:rsidRPr="007172EC">
        <w:rPr>
          <w:b/>
          <w:sz w:val="32"/>
          <w:u w:val="single"/>
        </w:rPr>
        <w:t>Actividades</w:t>
      </w:r>
    </w:p>
    <w:p w:rsidR="00167052" w:rsidRDefault="00167052" w:rsidP="004346B8"/>
    <w:p w:rsidR="00167052" w:rsidRPr="00470B5A" w:rsidRDefault="00230AB0" w:rsidP="004346B8">
      <w:pPr>
        <w:rPr>
          <w:rFonts w:ascii="Times New Roman" w:hAnsi="Times New Roman" w:cs="Times New Roman"/>
          <w:sz w:val="24"/>
        </w:rPr>
      </w:pPr>
      <w:r w:rsidRPr="00230AB0">
        <w:rPr>
          <w:b/>
          <w:sz w:val="24"/>
        </w:rPr>
        <w:t xml:space="preserve">1.- </w:t>
      </w:r>
      <w:r w:rsidR="00167052" w:rsidRPr="00470B5A">
        <w:rPr>
          <w:rFonts w:ascii="Times New Roman" w:hAnsi="Times New Roman" w:cs="Times New Roman"/>
          <w:sz w:val="24"/>
        </w:rPr>
        <w:t>Colocar en nombre de las notas</w:t>
      </w:r>
      <w:r w:rsidR="00470B5A">
        <w:rPr>
          <w:rFonts w:ascii="Times New Roman" w:hAnsi="Times New Roman" w:cs="Times New Roman"/>
          <w:sz w:val="24"/>
        </w:rPr>
        <w:t xml:space="preserve"> que falta</w:t>
      </w:r>
      <w:r w:rsidR="00167052" w:rsidRPr="00470B5A">
        <w:rPr>
          <w:rFonts w:ascii="Times New Roman" w:hAnsi="Times New Roman" w:cs="Times New Roman"/>
          <w:sz w:val="24"/>
        </w:rPr>
        <w:t xml:space="preserve"> </w:t>
      </w:r>
      <w:r w:rsidRPr="00470B5A">
        <w:rPr>
          <w:rFonts w:ascii="Times New Roman" w:hAnsi="Times New Roman" w:cs="Times New Roman"/>
          <w:sz w:val="24"/>
        </w:rPr>
        <w:t xml:space="preserve"> en los casilleros </w:t>
      </w:r>
      <w:r w:rsidR="00470B5A">
        <w:rPr>
          <w:rFonts w:ascii="Times New Roman" w:hAnsi="Times New Roman" w:cs="Times New Roman"/>
          <w:sz w:val="24"/>
        </w:rPr>
        <w:t xml:space="preserve"> </w:t>
      </w:r>
      <w:r w:rsidRPr="00470B5A">
        <w:rPr>
          <w:rFonts w:ascii="Times New Roman" w:hAnsi="Times New Roman" w:cs="Times New Roman"/>
          <w:sz w:val="24"/>
        </w:rPr>
        <w:t xml:space="preserve"> a partir de la nota dada. </w:t>
      </w:r>
      <w:r w:rsidRPr="00470B5A">
        <w:rPr>
          <w:rFonts w:ascii="Times New Roman" w:hAnsi="Times New Roman" w:cs="Times New Roman"/>
          <w:b/>
          <w:sz w:val="24"/>
        </w:rPr>
        <w:t>Por Ej</w:t>
      </w:r>
      <w:r w:rsidRPr="00470B5A">
        <w:rPr>
          <w:rFonts w:ascii="Times New Roman" w:hAnsi="Times New Roman" w:cs="Times New Roman"/>
          <w:sz w:val="24"/>
        </w:rPr>
        <w:t xml:space="preserve">. Si se empieza en DO, las que siguen serán </w:t>
      </w:r>
      <w:r w:rsidR="00470B5A" w:rsidRPr="00470B5A">
        <w:rPr>
          <w:rFonts w:ascii="Times New Roman" w:hAnsi="Times New Roman" w:cs="Times New Roman"/>
          <w:sz w:val="24"/>
        </w:rPr>
        <w:t>Re, Mi, Fa, Sol, La, Si, Do</w:t>
      </w:r>
    </w:p>
    <w:p w:rsidR="00230AB0" w:rsidRPr="00470B5A" w:rsidRDefault="00230AB0" w:rsidP="004346B8">
      <w:pPr>
        <w:rPr>
          <w:rFonts w:ascii="Times New Roman" w:hAnsi="Times New Roman" w:cs="Times New Roman"/>
          <w:sz w:val="24"/>
        </w:rPr>
      </w:pPr>
      <w:r w:rsidRPr="00470B5A">
        <w:rPr>
          <w:rFonts w:ascii="Times New Roman" w:hAnsi="Times New Roman" w:cs="Times New Roman"/>
          <w:sz w:val="24"/>
        </w:rPr>
        <w:t xml:space="preserve">Y si empieza en MI, las que siguen serán: Fa, Sol, La, Si, Do, </w:t>
      </w:r>
      <w:r w:rsidR="00470B5A" w:rsidRPr="00470B5A">
        <w:rPr>
          <w:rFonts w:ascii="Times New Roman" w:hAnsi="Times New Roman" w:cs="Times New Roman"/>
          <w:sz w:val="24"/>
        </w:rPr>
        <w:t>Re, Mi. La última nota será la misma con la que empezaron.</w:t>
      </w:r>
    </w:p>
    <w:tbl>
      <w:tblPr>
        <w:tblW w:w="6855" w:type="dxa"/>
        <w:tblInd w:w="-56" w:type="dxa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741"/>
        <w:gridCol w:w="992"/>
        <w:gridCol w:w="709"/>
        <w:gridCol w:w="850"/>
        <w:gridCol w:w="851"/>
        <w:gridCol w:w="850"/>
        <w:gridCol w:w="992"/>
      </w:tblGrid>
      <w:tr w:rsidR="00230AB0" w:rsidTr="00470B5A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74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MI</w:t>
            </w:r>
          </w:p>
        </w:tc>
        <w:tc>
          <w:tcPr>
            <w:tcW w:w="709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FA</w:t>
            </w: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 </w:t>
            </w: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</w:t>
            </w:r>
          </w:p>
        </w:tc>
        <w:tc>
          <w:tcPr>
            <w:tcW w:w="74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 </w:t>
            </w: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SOL </w:t>
            </w:r>
          </w:p>
        </w:tc>
        <w:tc>
          <w:tcPr>
            <w:tcW w:w="85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 </w:t>
            </w:r>
          </w:p>
        </w:tc>
        <w:tc>
          <w:tcPr>
            <w:tcW w:w="85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 </w:t>
            </w:r>
          </w:p>
        </w:tc>
        <w:tc>
          <w:tcPr>
            <w:tcW w:w="74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SOL </w:t>
            </w:r>
          </w:p>
        </w:tc>
        <w:tc>
          <w:tcPr>
            <w:tcW w:w="709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 </w:t>
            </w: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</w:t>
            </w: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MI</w:t>
            </w: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FA</w:t>
            </w:r>
          </w:p>
        </w:tc>
        <w:tc>
          <w:tcPr>
            <w:tcW w:w="74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</w:p>
        </w:tc>
        <w:tc>
          <w:tcPr>
            <w:tcW w:w="709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85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FA</w:t>
            </w: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SOL </w:t>
            </w:r>
          </w:p>
        </w:tc>
        <w:tc>
          <w:tcPr>
            <w:tcW w:w="74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MI</w:t>
            </w:r>
          </w:p>
        </w:tc>
        <w:tc>
          <w:tcPr>
            <w:tcW w:w="85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FA</w:t>
            </w: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</w:p>
        </w:tc>
        <w:tc>
          <w:tcPr>
            <w:tcW w:w="74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RE</w:t>
            </w: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FA</w:t>
            </w:r>
          </w:p>
        </w:tc>
        <w:tc>
          <w:tcPr>
            <w:tcW w:w="85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SOL</w:t>
            </w: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74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</w:t>
            </w: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MI</w:t>
            </w: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S0L</w:t>
            </w:r>
          </w:p>
        </w:tc>
        <w:tc>
          <w:tcPr>
            <w:tcW w:w="85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</w:t>
            </w:r>
          </w:p>
        </w:tc>
        <w:tc>
          <w:tcPr>
            <w:tcW w:w="74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MI</w:t>
            </w:r>
          </w:p>
        </w:tc>
        <w:tc>
          <w:tcPr>
            <w:tcW w:w="709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SOL</w:t>
            </w:r>
          </w:p>
        </w:tc>
        <w:tc>
          <w:tcPr>
            <w:tcW w:w="85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470B5A" w:rsidP="00230AB0">
            <w:pPr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</w:tc>
      </w:tr>
      <w:tr w:rsidR="00230AB0" w:rsidTr="00470B5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7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74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30AB0" w:rsidRDefault="00230AB0" w:rsidP="00230AB0">
            <w:pPr>
              <w:ind w:left="51"/>
              <w:rPr>
                <w:b/>
                <w:sz w:val="24"/>
              </w:rPr>
            </w:pPr>
          </w:p>
        </w:tc>
      </w:tr>
    </w:tbl>
    <w:p w:rsidR="00470B5A" w:rsidRDefault="00470B5A" w:rsidP="004346B8"/>
    <w:p w:rsidR="00470B5A" w:rsidRPr="007172EC" w:rsidRDefault="00470B5A" w:rsidP="004346B8">
      <w:pPr>
        <w:rPr>
          <w:rFonts w:ascii="Times New Roman" w:hAnsi="Times New Roman" w:cs="Times New Roman"/>
          <w:sz w:val="24"/>
          <w:szCs w:val="24"/>
        </w:rPr>
      </w:pPr>
      <w:r w:rsidRPr="00470B5A">
        <w:rPr>
          <w:b/>
        </w:rPr>
        <w:t>2.-</w:t>
      </w:r>
      <w:r w:rsidRPr="007172EC">
        <w:rPr>
          <w:rFonts w:ascii="Times New Roman" w:hAnsi="Times New Roman" w:cs="Times New Roman"/>
          <w:sz w:val="24"/>
          <w:szCs w:val="24"/>
        </w:rPr>
        <w:t>Colocar el nombre de las notas en el pentagrama</w:t>
      </w:r>
    </w:p>
    <w:p w:rsidR="00470B5A" w:rsidRPr="007172EC" w:rsidRDefault="00E729F8" w:rsidP="004346B8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796915" cy="10191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852" cy="102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B5A" w:rsidRPr="007172EC" w:rsidRDefault="00470B5A" w:rsidP="004346B8">
      <w:pPr>
        <w:rPr>
          <w:rFonts w:ascii="Times New Roman" w:hAnsi="Times New Roman" w:cs="Times New Roman"/>
          <w:sz w:val="24"/>
          <w:szCs w:val="24"/>
        </w:rPr>
      </w:pPr>
    </w:p>
    <w:p w:rsidR="004346B8" w:rsidRPr="007172EC" w:rsidRDefault="00E729F8" w:rsidP="004346B8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b/>
          <w:sz w:val="24"/>
          <w:szCs w:val="24"/>
        </w:rPr>
        <w:t>3.-</w:t>
      </w:r>
      <w:r w:rsidR="004346B8" w:rsidRPr="007172EC">
        <w:rPr>
          <w:rFonts w:ascii="Times New Roman" w:hAnsi="Times New Roman" w:cs="Times New Roman"/>
          <w:sz w:val="24"/>
          <w:szCs w:val="24"/>
        </w:rPr>
        <w:t xml:space="preserve">Relaciona con flechas </w:t>
      </w:r>
      <w:r w:rsidRPr="007172EC">
        <w:rPr>
          <w:rFonts w:ascii="Times New Roman" w:hAnsi="Times New Roman" w:cs="Times New Roman"/>
          <w:sz w:val="24"/>
          <w:szCs w:val="24"/>
        </w:rPr>
        <w:t xml:space="preserve"> </w:t>
      </w:r>
      <w:r w:rsidR="004346B8" w:rsidRPr="007172EC">
        <w:rPr>
          <w:rFonts w:ascii="Times New Roman" w:hAnsi="Times New Roman" w:cs="Times New Roman"/>
          <w:sz w:val="24"/>
          <w:szCs w:val="24"/>
        </w:rPr>
        <w:t xml:space="preserve">las diferentes cualidades y sus características: 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4020"/>
      </w:tblGrid>
      <w:tr w:rsidR="00167052" w:rsidRPr="007172EC" w:rsidTr="00167052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3525" w:type="dxa"/>
          </w:tcPr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Duración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Altura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Intensidad</w:t>
            </w:r>
          </w:p>
          <w:p w:rsidR="00167052" w:rsidRPr="007172EC" w:rsidRDefault="00AC7E29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67052" w:rsidRPr="007172EC">
              <w:rPr>
                <w:rFonts w:ascii="Times New Roman" w:hAnsi="Times New Roman" w:cs="Times New Roman"/>
                <w:sz w:val="24"/>
                <w:szCs w:val="24"/>
              </w:rPr>
              <w:t>imbre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Fuerte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Débil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Instrumento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Agudo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Voz</w:t>
            </w:r>
          </w:p>
          <w:p w:rsidR="00AC7E29" w:rsidRPr="007172EC" w:rsidRDefault="00AC7E29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 xml:space="preserve">Muy </w:t>
            </w:r>
            <w:r w:rsidR="00E729F8" w:rsidRPr="007172EC">
              <w:rPr>
                <w:rFonts w:ascii="Times New Roman" w:hAnsi="Times New Roman" w:cs="Times New Roman"/>
                <w:sz w:val="24"/>
                <w:szCs w:val="24"/>
              </w:rPr>
              <w:t>débil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C">
              <w:rPr>
                <w:rFonts w:ascii="Times New Roman" w:hAnsi="Times New Roman" w:cs="Times New Roman"/>
                <w:sz w:val="24"/>
                <w:szCs w:val="24"/>
              </w:rPr>
              <w:t>Grave</w:t>
            </w:r>
          </w:p>
          <w:p w:rsidR="00167052" w:rsidRPr="007172EC" w:rsidRDefault="00167052" w:rsidP="00167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052" w:rsidRPr="007172EC" w:rsidRDefault="00167052" w:rsidP="004346B8">
      <w:pPr>
        <w:rPr>
          <w:rFonts w:ascii="Times New Roman" w:hAnsi="Times New Roman" w:cs="Times New Roman"/>
          <w:sz w:val="24"/>
          <w:szCs w:val="24"/>
        </w:rPr>
      </w:pPr>
    </w:p>
    <w:p w:rsidR="00167052" w:rsidRPr="007172EC" w:rsidRDefault="00167052" w:rsidP="004346B8">
      <w:pPr>
        <w:rPr>
          <w:rFonts w:ascii="Times New Roman" w:hAnsi="Times New Roman" w:cs="Times New Roman"/>
          <w:sz w:val="24"/>
          <w:szCs w:val="24"/>
        </w:rPr>
      </w:pPr>
    </w:p>
    <w:p w:rsidR="004346B8" w:rsidRPr="007172EC" w:rsidRDefault="00E729F8" w:rsidP="004346B8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 xml:space="preserve">4. </w:t>
      </w:r>
      <w:r w:rsidR="004346B8" w:rsidRPr="007172EC">
        <w:rPr>
          <w:rFonts w:ascii="Times New Roman" w:hAnsi="Times New Roman" w:cs="Times New Roman"/>
          <w:sz w:val="24"/>
          <w:szCs w:val="24"/>
        </w:rPr>
        <w:t>Completa</w:t>
      </w:r>
      <w:r w:rsidRPr="007172EC">
        <w:rPr>
          <w:rFonts w:ascii="Times New Roman" w:hAnsi="Times New Roman" w:cs="Times New Roman"/>
          <w:sz w:val="24"/>
          <w:szCs w:val="24"/>
        </w:rPr>
        <w:t xml:space="preserve">r </w:t>
      </w:r>
      <w:r w:rsidR="004346B8" w:rsidRPr="007172EC">
        <w:rPr>
          <w:rFonts w:ascii="Times New Roman" w:hAnsi="Times New Roman" w:cs="Times New Roman"/>
          <w:sz w:val="24"/>
          <w:szCs w:val="24"/>
        </w:rPr>
        <w:t>utilizando palabras relacionadas con las cualidades del sonido:</w:t>
      </w:r>
    </w:p>
    <w:p w:rsidR="004346B8" w:rsidRPr="007172EC" w:rsidRDefault="004346B8" w:rsidP="004346B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 xml:space="preserve">El parámetro o cualidad del tiempo es </w:t>
      </w:r>
      <w:r w:rsidR="00167052" w:rsidRPr="007172EC">
        <w:rPr>
          <w:rFonts w:ascii="Times New Roman" w:hAnsi="Times New Roman" w:cs="Times New Roman"/>
          <w:sz w:val="24"/>
          <w:szCs w:val="24"/>
        </w:rPr>
        <w:t>la……………………………………….</w:t>
      </w:r>
    </w:p>
    <w:p w:rsidR="004346B8" w:rsidRPr="007172EC" w:rsidRDefault="004346B8" w:rsidP="004346B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>Un sonido fuerte o débil nos lo indica la</w:t>
      </w:r>
      <w:r w:rsidR="00167052" w:rsidRPr="007172E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346B8" w:rsidRPr="007172EC" w:rsidRDefault="004346B8" w:rsidP="004346B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>Esa voz me suena, reconozco su</w:t>
      </w:r>
      <w:r w:rsidR="00167052" w:rsidRPr="007172EC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346B8" w:rsidRPr="007172EC" w:rsidRDefault="004346B8" w:rsidP="004346B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>Su voz emitía un sonido</w:t>
      </w:r>
      <w:r w:rsidR="00167052" w:rsidRPr="007172EC">
        <w:rPr>
          <w:rFonts w:ascii="Times New Roman" w:hAnsi="Times New Roman" w:cs="Times New Roman"/>
          <w:sz w:val="24"/>
          <w:szCs w:val="24"/>
        </w:rPr>
        <w:t xml:space="preserve"> tan…………………………. que apenas podía escucharla</w:t>
      </w:r>
    </w:p>
    <w:p w:rsidR="00167052" w:rsidRPr="007172EC" w:rsidRDefault="00167052" w:rsidP="0016705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lastRenderedPageBreak/>
        <w:t>Esa sirena emitía un sonido muy………………………….</w:t>
      </w:r>
    </w:p>
    <w:p w:rsidR="00167052" w:rsidRPr="007172EC" w:rsidRDefault="00167052" w:rsidP="0016705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>El sonido de los altavoces era tan …………………..que los oídos me dolieron una semana</w:t>
      </w:r>
    </w:p>
    <w:p w:rsidR="00646F03" w:rsidRPr="007172EC" w:rsidRDefault="00E729F8" w:rsidP="00170883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b/>
          <w:sz w:val="24"/>
          <w:szCs w:val="24"/>
        </w:rPr>
        <w:t>5.-</w:t>
      </w:r>
      <w:r w:rsidRPr="007172EC">
        <w:rPr>
          <w:rFonts w:ascii="Times New Roman" w:hAnsi="Times New Roman" w:cs="Times New Roman"/>
          <w:sz w:val="24"/>
          <w:szCs w:val="24"/>
        </w:rPr>
        <w:t xml:space="preserve"> </w:t>
      </w:r>
      <w:r w:rsidR="00646F03" w:rsidRPr="007172EC">
        <w:rPr>
          <w:rFonts w:ascii="Times New Roman" w:hAnsi="Times New Roman" w:cs="Times New Roman"/>
          <w:sz w:val="24"/>
          <w:szCs w:val="24"/>
        </w:rPr>
        <w:t>Marcar la Opción correcta</w:t>
      </w:r>
    </w:p>
    <w:p w:rsidR="00646F03" w:rsidRPr="007172EC" w:rsidRDefault="00170883" w:rsidP="00170883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 xml:space="preserve">La intensidad es la característica que permite diferenciar: </w:t>
      </w:r>
    </w:p>
    <w:p w:rsidR="00646F03" w:rsidRPr="007172EC" w:rsidRDefault="00170883" w:rsidP="00170883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 xml:space="preserve"> Los sonidos agudos de los graves. </w:t>
      </w:r>
    </w:p>
    <w:p w:rsidR="00646F03" w:rsidRPr="007172EC" w:rsidRDefault="00170883" w:rsidP="00170883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 xml:space="preserve"> Los sonidos largos de los cortos. </w:t>
      </w:r>
    </w:p>
    <w:p w:rsidR="00170883" w:rsidRPr="007172EC" w:rsidRDefault="00170883" w:rsidP="00170883">
      <w:pPr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>Los sonidos fuertes de los suaves</w:t>
      </w:r>
    </w:p>
    <w:p w:rsidR="007172EC" w:rsidRPr="007172EC" w:rsidRDefault="007172EC" w:rsidP="00170883">
      <w:pPr>
        <w:rPr>
          <w:rFonts w:ascii="Times New Roman" w:hAnsi="Times New Roman" w:cs="Times New Roman"/>
          <w:sz w:val="24"/>
          <w:szCs w:val="24"/>
        </w:rPr>
      </w:pPr>
    </w:p>
    <w:p w:rsidR="007172EC" w:rsidRDefault="007172EC" w:rsidP="00170883">
      <w:pPr>
        <w:rPr>
          <w:rFonts w:ascii="Times New Roman" w:hAnsi="Times New Roman" w:cs="Times New Roman"/>
          <w:b/>
          <w:sz w:val="24"/>
          <w:szCs w:val="24"/>
        </w:rPr>
      </w:pPr>
      <w:r w:rsidRPr="007172EC">
        <w:rPr>
          <w:rFonts w:ascii="Times New Roman" w:hAnsi="Times New Roman" w:cs="Times New Roman"/>
          <w:b/>
          <w:sz w:val="24"/>
          <w:szCs w:val="24"/>
        </w:rPr>
        <w:t>Criterios de evaluación</w:t>
      </w:r>
    </w:p>
    <w:p w:rsidR="0071516D" w:rsidRPr="0071516D" w:rsidRDefault="0071516D" w:rsidP="0071516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Conoce e identifica las cualidades del sonido</w:t>
      </w:r>
    </w:p>
    <w:p w:rsidR="0071516D" w:rsidRPr="0071516D" w:rsidRDefault="0071516D" w:rsidP="0071516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Demuestra interés y realiza consultas cuando tiene dudas para poder realizar la actividad</w:t>
      </w:r>
    </w:p>
    <w:p w:rsidR="0071516D" w:rsidRPr="0071516D" w:rsidRDefault="0071516D" w:rsidP="0071516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Entrega las actividades en los tiempos acordados.</w:t>
      </w:r>
    </w:p>
    <w:p w:rsidR="0071516D" w:rsidRPr="0071516D" w:rsidRDefault="0071516D" w:rsidP="0071516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172EC" w:rsidRPr="007172EC" w:rsidRDefault="007172EC" w:rsidP="00170883">
      <w:pPr>
        <w:rPr>
          <w:rFonts w:ascii="Times New Roman" w:hAnsi="Times New Roman" w:cs="Times New Roman"/>
          <w:sz w:val="24"/>
          <w:szCs w:val="24"/>
        </w:rPr>
      </w:pPr>
    </w:p>
    <w:sectPr w:rsidR="007172EC" w:rsidRPr="007172EC" w:rsidSect="00C17077">
      <w:pgSz w:w="11906" w:h="16838"/>
      <w:pgMar w:top="1417" w:right="1701" w:bottom="1417" w:left="1701" w:header="708" w:footer="708" w:gutter="0"/>
      <w:pgBorders w:offsetFrom="page">
        <w:top w:val="single" w:sz="4" w:space="24" w:color="BF8F00" w:themeColor="accent4" w:themeShade="BF"/>
        <w:left w:val="single" w:sz="4" w:space="24" w:color="BF8F00" w:themeColor="accent4" w:themeShade="BF"/>
        <w:bottom w:val="single" w:sz="4" w:space="24" w:color="BF8F00" w:themeColor="accent4" w:themeShade="BF"/>
        <w:right w:val="single" w:sz="4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42063"/>
    <w:multiLevelType w:val="hybridMultilevel"/>
    <w:tmpl w:val="66A8BEC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F6855"/>
    <w:multiLevelType w:val="hybridMultilevel"/>
    <w:tmpl w:val="C630DC8A"/>
    <w:lvl w:ilvl="0" w:tplc="51DCD87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B1F368B"/>
    <w:multiLevelType w:val="hybridMultilevel"/>
    <w:tmpl w:val="5AB2C1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BC"/>
    <w:rsid w:val="00084FA7"/>
    <w:rsid w:val="00167052"/>
    <w:rsid w:val="00170883"/>
    <w:rsid w:val="00230AB0"/>
    <w:rsid w:val="002F7ADC"/>
    <w:rsid w:val="003C7AE5"/>
    <w:rsid w:val="004346B8"/>
    <w:rsid w:val="00470B5A"/>
    <w:rsid w:val="00475A2E"/>
    <w:rsid w:val="00646F03"/>
    <w:rsid w:val="0071516D"/>
    <w:rsid w:val="007172EC"/>
    <w:rsid w:val="0090796F"/>
    <w:rsid w:val="00936CDB"/>
    <w:rsid w:val="00A71DF3"/>
    <w:rsid w:val="00AC7E29"/>
    <w:rsid w:val="00AF7991"/>
    <w:rsid w:val="00B2041A"/>
    <w:rsid w:val="00BD5AEA"/>
    <w:rsid w:val="00C17077"/>
    <w:rsid w:val="00C713F6"/>
    <w:rsid w:val="00D44E03"/>
    <w:rsid w:val="00DB5908"/>
    <w:rsid w:val="00E45FBC"/>
    <w:rsid w:val="00E729F8"/>
    <w:rsid w:val="00EB4AC9"/>
    <w:rsid w:val="00F6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FB94E-D5E7-4E5F-B965-1EA5501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4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4">
    <w:name w:val="Grid Table 4 Accent 4"/>
    <w:basedOn w:val="Tablanormal"/>
    <w:uiPriority w:val="49"/>
    <w:rsid w:val="00D44E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4">
    <w:name w:val="List Table 4 Accent 4"/>
    <w:basedOn w:val="Tablanormal"/>
    <w:uiPriority w:val="49"/>
    <w:rsid w:val="00D44E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Prrafodelista">
    <w:name w:val="List Paragraph"/>
    <w:basedOn w:val="Normal"/>
    <w:uiPriority w:val="34"/>
    <w:qFormat/>
    <w:rsid w:val="0043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dcterms:created xsi:type="dcterms:W3CDTF">2020-11-11T16:13:00Z</dcterms:created>
  <dcterms:modified xsi:type="dcterms:W3CDTF">2020-11-12T05:47:00Z</dcterms:modified>
</cp:coreProperties>
</file>